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980"/>
        <w:gridCol w:w="6660"/>
        <w:gridCol w:w="2140"/>
        <w:gridCol w:w="236"/>
      </w:tblGrid>
      <w:tr w:rsidR="00B9567B" w:rsidTr="00331F49">
        <w:tc>
          <w:tcPr>
            <w:tcW w:w="2268" w:type="dxa"/>
            <w:gridSpan w:val="2"/>
            <w:vAlign w:val="center"/>
          </w:tcPr>
          <w:p w:rsidR="00B9567B" w:rsidRDefault="00C15B12" w:rsidP="000B465D">
            <w:pPr>
              <w:spacing w:before="120" w:after="120"/>
              <w:jc w:val="center"/>
            </w:pPr>
            <w:bookmarkStart w:id="0" w:name="_GoBack"/>
            <w:bookmarkEnd w:id="0"/>
            <w:r w:rsidRPr="00C15B12">
              <w:rPr>
                <w:noProof/>
              </w:rPr>
              <w:drawing>
                <wp:inline distT="0" distB="0" distL="0" distR="0" wp14:anchorId="63F9CE64" wp14:editId="016FAFEB">
                  <wp:extent cx="1065214" cy="1072726"/>
                  <wp:effectExtent l="19050" t="0" r="1586" b="0"/>
                  <wp:docPr id="6" name="Picture 0" descr="SAO SEAL FINAL 2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O SEAL FINAL 2010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65" cy="10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C15B12" w:rsidRPr="00C15B12" w:rsidRDefault="00C15B12" w:rsidP="00FA29BA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15B12">
              <w:rPr>
                <w:rFonts w:ascii="Times New Roman" w:hAnsi="Times New Roman"/>
                <w:b/>
                <w:sz w:val="36"/>
                <w:szCs w:val="36"/>
              </w:rPr>
              <w:t>KATHERINE FERNANDEZ RUNDLE</w:t>
            </w:r>
          </w:p>
          <w:p w:rsidR="00C15B12" w:rsidRPr="00C15B12" w:rsidRDefault="00C15B12" w:rsidP="00C15B1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5B12">
              <w:rPr>
                <w:rFonts w:ascii="Times New Roman" w:hAnsi="Times New Roman"/>
                <w:b/>
                <w:sz w:val="32"/>
                <w:szCs w:val="32"/>
              </w:rPr>
              <w:t>STATE ATTORNEY</w:t>
            </w:r>
          </w:p>
          <w:p w:rsidR="00C15B12" w:rsidRDefault="00C15B12" w:rsidP="00C1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7B" w:rsidRPr="00B9567B" w:rsidRDefault="00B9567B" w:rsidP="00B95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7B">
              <w:rPr>
                <w:rFonts w:ascii="Times New Roman" w:hAnsi="Times New Roman"/>
                <w:b/>
                <w:sz w:val="28"/>
                <w:szCs w:val="28"/>
              </w:rPr>
              <w:t>ELEVENTH JUDICIAL CIRCUIT</w:t>
            </w:r>
          </w:p>
          <w:p w:rsidR="00B9567B" w:rsidRPr="00B9567B" w:rsidRDefault="00B9567B" w:rsidP="00C1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7B">
              <w:rPr>
                <w:rFonts w:ascii="Times New Roman" w:hAnsi="Times New Roman"/>
                <w:b/>
                <w:sz w:val="28"/>
                <w:szCs w:val="28"/>
              </w:rPr>
              <w:t>IN AND FOR MIAMI-DADE COUNTY</w:t>
            </w:r>
          </w:p>
          <w:p w:rsidR="00B9567B" w:rsidRPr="00B9567B" w:rsidRDefault="00B9567B" w:rsidP="00331F49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B9567B" w:rsidRDefault="002E4799" w:rsidP="000E4703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34BC78D4" wp14:editId="3D74282C">
                  <wp:extent cx="908050" cy="1019175"/>
                  <wp:effectExtent l="19050" t="0" r="6350" b="0"/>
                  <wp:docPr id="2" name="Picture 1" descr="USA_Fla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_Flag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49" cy="101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49" w:rsidTr="00331F49">
        <w:tc>
          <w:tcPr>
            <w:tcW w:w="2268" w:type="dxa"/>
            <w:gridSpan w:val="2"/>
            <w:vAlign w:val="center"/>
          </w:tcPr>
          <w:p w:rsidR="00331F49" w:rsidRDefault="00331F49" w:rsidP="007503D7">
            <w:pPr>
              <w:spacing w:after="120"/>
              <w:jc w:val="center"/>
              <w:rPr>
                <w:noProof/>
              </w:rPr>
            </w:pPr>
          </w:p>
        </w:tc>
        <w:tc>
          <w:tcPr>
            <w:tcW w:w="6660" w:type="dxa"/>
          </w:tcPr>
          <w:p w:rsidR="00331F49" w:rsidRPr="00B9567B" w:rsidRDefault="00331F49" w:rsidP="00331F49">
            <w:pPr>
              <w:spacing w:before="240" w:after="36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23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FOR IMMEDIATE RELEASE</w:t>
            </w:r>
          </w:p>
        </w:tc>
        <w:tc>
          <w:tcPr>
            <w:tcW w:w="2376" w:type="dxa"/>
            <w:gridSpan w:val="2"/>
            <w:vAlign w:val="center"/>
          </w:tcPr>
          <w:p w:rsidR="00331F49" w:rsidRPr="007503D7" w:rsidRDefault="00331F49" w:rsidP="000E4703">
            <w:pPr>
              <w:spacing w:after="120"/>
              <w:jc w:val="center"/>
              <w:rPr>
                <w:noProof/>
              </w:rPr>
            </w:pPr>
          </w:p>
        </w:tc>
      </w:tr>
      <w:tr w:rsidR="00331F49" w:rsidRPr="003855DD" w:rsidTr="00C773F9">
        <w:tc>
          <w:tcPr>
            <w:tcW w:w="288" w:type="dxa"/>
            <w:vAlign w:val="center"/>
          </w:tcPr>
          <w:p w:rsidR="00331F49" w:rsidRPr="003855DD" w:rsidRDefault="00331F49" w:rsidP="007503D7">
            <w:pPr>
              <w:spacing w:after="12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780" w:type="dxa"/>
            <w:gridSpan w:val="3"/>
          </w:tcPr>
          <w:p w:rsidR="001B0586" w:rsidRPr="00975F56" w:rsidRDefault="001B0586" w:rsidP="001B0586">
            <w:pPr>
              <w:pStyle w:val="NormalWeb"/>
              <w:shd w:val="clear" w:color="auto" w:fill="FFFFFF"/>
              <w:jc w:val="center"/>
              <w:rPr>
                <w:b/>
                <w:sz w:val="44"/>
                <w:szCs w:val="44"/>
                <w:u w:val="single"/>
              </w:rPr>
            </w:pPr>
            <w:r w:rsidRPr="00975F56">
              <w:rPr>
                <w:b/>
                <w:sz w:val="44"/>
                <w:szCs w:val="44"/>
                <w:u w:val="single"/>
              </w:rPr>
              <w:t>Weston Meat Exporter Arrested</w:t>
            </w:r>
          </w:p>
          <w:p w:rsidR="001B0586" w:rsidRPr="00235A20" w:rsidRDefault="001B0586" w:rsidP="001B058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</w:rPr>
            </w:pPr>
            <w:r w:rsidRPr="00235A20">
              <w:rPr>
                <w:rFonts w:ascii="Arial" w:hAnsi="Arial" w:cs="Arial"/>
              </w:rPr>
              <w:t xml:space="preserve">Fake invoices used </w:t>
            </w:r>
            <w:r>
              <w:rPr>
                <w:rFonts w:ascii="Arial" w:hAnsi="Arial" w:cs="Arial"/>
              </w:rPr>
              <w:t>in Export-Import Bank fraud</w:t>
            </w:r>
          </w:p>
          <w:p w:rsidR="00D23B44" w:rsidRDefault="00D23B44" w:rsidP="000C5AD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31F49" w:rsidRPr="003855DD" w:rsidRDefault="00331F49" w:rsidP="000C5AD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vAlign w:val="center"/>
          </w:tcPr>
          <w:p w:rsidR="00331F49" w:rsidRPr="003855DD" w:rsidRDefault="00331F49" w:rsidP="000E4703">
            <w:pPr>
              <w:spacing w:after="12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331F49" w:rsidRPr="003855DD" w:rsidTr="00331F49">
        <w:tc>
          <w:tcPr>
            <w:tcW w:w="11304" w:type="dxa"/>
            <w:gridSpan w:val="5"/>
          </w:tcPr>
          <w:p w:rsidR="001B0586" w:rsidRPr="00235A20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  <w:r w:rsidRPr="00235A20">
              <w:rPr>
                <w:rFonts w:ascii="Arial" w:hAnsi="Arial" w:cs="Arial"/>
                <w:b/>
              </w:rPr>
              <w:t xml:space="preserve">Miami (July 21, 2015)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235A20">
              <w:rPr>
                <w:rFonts w:ascii="Arial" w:hAnsi="Arial" w:cs="Arial"/>
                <w:b/>
              </w:rPr>
              <w:t xml:space="preserve">As a result of a joint </w:t>
            </w:r>
            <w:r>
              <w:rPr>
                <w:rFonts w:ascii="Arial" w:hAnsi="Arial" w:cs="Arial"/>
                <w:b/>
              </w:rPr>
              <w:t xml:space="preserve">investigation by the </w:t>
            </w:r>
            <w:r w:rsidRPr="00235A20">
              <w:rPr>
                <w:rFonts w:ascii="Arial" w:hAnsi="Arial" w:cs="Arial"/>
                <w:b/>
              </w:rPr>
              <w:t xml:space="preserve">Miami-Dade State Attorney’s Office and the </w:t>
            </w:r>
            <w:r w:rsidRPr="0068394F">
              <w:rPr>
                <w:rFonts w:ascii="Arial" w:hAnsi="Arial" w:cs="Arial"/>
                <w:b/>
              </w:rPr>
              <w:t>Inspector General</w:t>
            </w:r>
            <w:r>
              <w:rPr>
                <w:rFonts w:ascii="Arial" w:hAnsi="Arial" w:cs="Arial"/>
                <w:b/>
              </w:rPr>
              <w:t>’s Office</w:t>
            </w:r>
            <w:r w:rsidRPr="006839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the </w:t>
            </w:r>
            <w:r w:rsidRPr="00235A20">
              <w:rPr>
                <w:rFonts w:ascii="Arial" w:hAnsi="Arial" w:cs="Arial"/>
                <w:b/>
              </w:rPr>
              <w:t xml:space="preserve">Export-Import Bank of the United States, 61 year old Weston resident Carlos Hernan Del Valle </w:t>
            </w:r>
            <w:r>
              <w:rPr>
                <w:rFonts w:ascii="Arial" w:hAnsi="Arial" w:cs="Arial"/>
                <w:b/>
              </w:rPr>
              <w:t>has been</w:t>
            </w:r>
            <w:r w:rsidRPr="00235A20">
              <w:rPr>
                <w:rFonts w:ascii="Arial" w:hAnsi="Arial" w:cs="Arial"/>
                <w:b/>
              </w:rPr>
              <w:t xml:space="preserve"> arrested for his alleged role in a scheme to defraud Plus International Bank of Miami and the Export-Import Bank of the United States of $750,000.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5A20">
              <w:rPr>
                <w:rFonts w:ascii="Arial" w:hAnsi="Arial" w:cs="Arial"/>
                <w:b/>
              </w:rPr>
              <w:t xml:space="preserve">Mr. Del Valle was arrested by Broward County Sheriff’s Deputies and Special Agents of the </w:t>
            </w:r>
            <w:r>
              <w:rPr>
                <w:rFonts w:ascii="Arial" w:hAnsi="Arial" w:cs="Arial"/>
                <w:b/>
              </w:rPr>
              <w:t xml:space="preserve">Inspector General’s Office of the </w:t>
            </w:r>
            <w:r w:rsidRPr="00235A20">
              <w:rPr>
                <w:rFonts w:ascii="Arial" w:hAnsi="Arial" w:cs="Arial"/>
                <w:b/>
              </w:rPr>
              <w:t>Export-Import Bank o</w:t>
            </w:r>
            <w:r>
              <w:rPr>
                <w:rFonts w:ascii="Arial" w:hAnsi="Arial" w:cs="Arial"/>
                <w:b/>
              </w:rPr>
              <w:t>n a Miami-Dade County warrant.</w:t>
            </w:r>
          </w:p>
          <w:p w:rsidR="001B0586" w:rsidRPr="00235A20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1B0586" w:rsidRPr="00235A20" w:rsidRDefault="001B0586" w:rsidP="001B0586">
            <w:pPr>
              <w:rPr>
                <w:rFonts w:ascii="Arial" w:hAnsi="Arial" w:cs="Arial"/>
                <w:b/>
              </w:rPr>
            </w:pPr>
            <w:r w:rsidRPr="00235A20">
              <w:rPr>
                <w:rFonts w:ascii="Arial" w:hAnsi="Arial" w:cs="Arial"/>
                <w:b/>
              </w:rPr>
              <w:t>Carlos Hernan Del Valle has been charged with:</w:t>
            </w:r>
          </w:p>
          <w:p w:rsidR="001B0586" w:rsidRPr="00235A20" w:rsidRDefault="001B0586" w:rsidP="001B05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35A20">
              <w:rPr>
                <w:rFonts w:ascii="Arial" w:hAnsi="Arial" w:cs="Arial"/>
                <w:b/>
              </w:rPr>
              <w:t xml:space="preserve">1 count      Grand Theft                              1st </w:t>
            </w:r>
            <w:r w:rsidRPr="00235A20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235A20">
              <w:rPr>
                <w:rFonts w:ascii="Arial" w:hAnsi="Arial" w:cs="Arial"/>
                <w:b/>
              </w:rPr>
              <w:t>Degree Felony</w:t>
            </w:r>
          </w:p>
          <w:p w:rsidR="001B0586" w:rsidRPr="00235A20" w:rsidRDefault="001B0586" w:rsidP="001B05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-3"/>
              </w:rPr>
            </w:pPr>
            <w:r w:rsidRPr="00235A20">
              <w:rPr>
                <w:rFonts w:ascii="Arial" w:hAnsi="Arial" w:cs="Arial"/>
                <w:b/>
                <w:spacing w:val="-3"/>
              </w:rPr>
              <w:t xml:space="preserve">1 count       </w:t>
            </w:r>
            <w:r w:rsidRPr="00235A20">
              <w:rPr>
                <w:rFonts w:ascii="Arial" w:hAnsi="Arial" w:cs="Arial"/>
                <w:b/>
              </w:rPr>
              <w:t>Organi</w:t>
            </w:r>
            <w:r>
              <w:rPr>
                <w:rFonts w:ascii="Arial" w:hAnsi="Arial" w:cs="Arial"/>
                <w:b/>
              </w:rPr>
              <w:t xml:space="preserve">zed Fraud                     </w:t>
            </w:r>
            <w:r w:rsidRPr="00235A20">
              <w:rPr>
                <w:rFonts w:ascii="Arial" w:hAnsi="Arial" w:cs="Arial"/>
                <w:b/>
              </w:rPr>
              <w:t>1st</w:t>
            </w:r>
            <w:r w:rsidRPr="00235A20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235A20">
              <w:rPr>
                <w:rFonts w:ascii="Arial" w:hAnsi="Arial" w:cs="Arial"/>
                <w:b/>
              </w:rPr>
              <w:t>Degree Felony</w:t>
            </w:r>
          </w:p>
          <w:p w:rsidR="001B0586" w:rsidRDefault="001B0586" w:rsidP="001B0586">
            <w:pPr>
              <w:rPr>
                <w:rFonts w:ascii="Arial" w:hAnsi="Arial" w:cs="Arial"/>
                <w:b/>
                <w:spacing w:val="-3"/>
              </w:rPr>
            </w:pPr>
          </w:p>
          <w:p w:rsidR="001B0586" w:rsidRDefault="001B0586" w:rsidP="001B0586">
            <w:pPr>
              <w:rPr>
                <w:rFonts w:ascii="Arial" w:hAnsi="Arial" w:cs="Arial"/>
                <w:b/>
              </w:rPr>
            </w:pPr>
            <w:r w:rsidRPr="00235A20">
              <w:rPr>
                <w:rFonts w:ascii="Arial" w:hAnsi="Arial" w:cs="Arial"/>
                <w:b/>
              </w:rPr>
              <w:t xml:space="preserve">“Sophisticated white collar crimes appear radically different from burglaries and armed robberies”, commented Miami-Dade State Attorney Katherine Fernandez Rundle. “But </w:t>
            </w:r>
            <w:r>
              <w:rPr>
                <w:rFonts w:ascii="Arial" w:hAnsi="Arial" w:cs="Arial"/>
                <w:b/>
              </w:rPr>
              <w:t xml:space="preserve">they have one thing in common: </w:t>
            </w:r>
            <w:r w:rsidRPr="00235A20">
              <w:rPr>
                <w:rFonts w:ascii="Arial" w:hAnsi="Arial" w:cs="Arial"/>
                <w:b/>
              </w:rPr>
              <w:t>they are acts undertaken to steal from others</w:t>
            </w:r>
            <w:r>
              <w:rPr>
                <w:rFonts w:ascii="Arial" w:hAnsi="Arial" w:cs="Arial"/>
                <w:b/>
              </w:rPr>
              <w:t>;</w:t>
            </w:r>
            <w:r w:rsidRPr="00235A20">
              <w:rPr>
                <w:rFonts w:ascii="Arial" w:hAnsi="Arial" w:cs="Arial"/>
                <w:b/>
              </w:rPr>
              <w:t xml:space="preserve"> from home owners, from citizens or</w:t>
            </w:r>
            <w:r>
              <w:rPr>
                <w:rFonts w:ascii="Arial" w:hAnsi="Arial" w:cs="Arial"/>
                <w:b/>
              </w:rPr>
              <w:t>, in this instance,</w:t>
            </w:r>
            <w:r w:rsidRPr="00235A20">
              <w:rPr>
                <w:rFonts w:ascii="Arial" w:hAnsi="Arial" w:cs="Arial"/>
                <w:b/>
              </w:rPr>
              <w:t xml:space="preserve"> from our government.  This was a complex crime investigated by dedicated investigators from the Office </w:t>
            </w:r>
            <w:r>
              <w:rPr>
                <w:rFonts w:ascii="Arial" w:hAnsi="Arial" w:cs="Arial"/>
                <w:b/>
              </w:rPr>
              <w:t xml:space="preserve">of the </w:t>
            </w:r>
            <w:r w:rsidRPr="00235A20">
              <w:rPr>
                <w:rFonts w:ascii="Arial" w:hAnsi="Arial" w:cs="Arial"/>
                <w:b/>
              </w:rPr>
              <w:t>Inspector General for the Export-I</w:t>
            </w:r>
            <w:r>
              <w:rPr>
                <w:rFonts w:ascii="Arial" w:hAnsi="Arial" w:cs="Arial"/>
                <w:b/>
              </w:rPr>
              <w:t xml:space="preserve">mport Bank and worked by my prosecutors. </w:t>
            </w:r>
            <w:r w:rsidRPr="00235A20">
              <w:rPr>
                <w:rFonts w:ascii="Arial" w:hAnsi="Arial" w:cs="Arial"/>
                <w:b/>
              </w:rPr>
              <w:t>I am proud to be a part of such a law enforcement partnership.”</w:t>
            </w:r>
          </w:p>
          <w:p w:rsidR="00500174" w:rsidRPr="00235A20" w:rsidRDefault="00500174" w:rsidP="001B0586">
            <w:pPr>
              <w:rPr>
                <w:rFonts w:ascii="Arial" w:hAnsi="Arial" w:cs="Arial"/>
                <w:b/>
                <w:spacing w:val="-3"/>
              </w:rPr>
            </w:pPr>
          </w:p>
          <w:p w:rsidR="001B0586" w:rsidRPr="00235A20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  <w:r w:rsidRPr="00235A20">
              <w:rPr>
                <w:rFonts w:ascii="Arial" w:hAnsi="Arial" w:cs="Arial"/>
                <w:b/>
              </w:rPr>
              <w:t>Mr. Del Valle, through his company Lion Trading Corporation, represented that he sold and shipped meat products to nine businesses in the Dominican Republic from November 17, 2011 through Jan</w:t>
            </w:r>
            <w:r>
              <w:rPr>
                <w:rFonts w:ascii="Arial" w:hAnsi="Arial" w:cs="Arial"/>
                <w:b/>
              </w:rPr>
              <w:t xml:space="preserve">uary 23, 2012. </w:t>
            </w:r>
            <w:r w:rsidRPr="00235A20">
              <w:rPr>
                <w:rFonts w:ascii="Arial" w:hAnsi="Arial" w:cs="Arial"/>
                <w:b/>
              </w:rPr>
              <w:t>To facilitate his export business, Mr. Del Valle applied for and received a line of credit totaling $750,000 from the Miami-based Plus International Bank, a lender who specializ</w:t>
            </w:r>
            <w:r>
              <w:rPr>
                <w:rFonts w:ascii="Arial" w:hAnsi="Arial" w:cs="Arial"/>
                <w:b/>
              </w:rPr>
              <w:t>es</w:t>
            </w:r>
            <w:r w:rsidRPr="00235A20">
              <w:rPr>
                <w:rFonts w:ascii="Arial" w:hAnsi="Arial" w:cs="Arial"/>
                <w:b/>
              </w:rPr>
              <w:t xml:space="preserve"> in international trade finance.</w:t>
            </w:r>
          </w:p>
          <w:p w:rsidR="001B0586" w:rsidRPr="00235A20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1B0586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  <w:r w:rsidRPr="00235A20">
              <w:rPr>
                <w:rFonts w:ascii="Arial" w:hAnsi="Arial" w:cs="Arial"/>
                <w:b/>
              </w:rPr>
              <w:t xml:space="preserve">Based on an investigation, it is alleged that Mr. Del Valle submitted fraudulent sales and shipping documents to Plus International Bank purporting to support exports that never occurred </w:t>
            </w:r>
            <w:r>
              <w:rPr>
                <w:rFonts w:ascii="Arial" w:hAnsi="Arial" w:cs="Arial"/>
                <w:b/>
              </w:rPr>
              <w:t xml:space="preserve">in order to receive the funds. </w:t>
            </w:r>
            <w:r w:rsidRPr="00235A20">
              <w:rPr>
                <w:rFonts w:ascii="Arial" w:hAnsi="Arial" w:cs="Arial"/>
                <w:b/>
              </w:rPr>
              <w:t>It is believed Mr. Del Valle used the fraudulently obtained funds to pay off earlier loans</w:t>
            </w:r>
            <w:r>
              <w:rPr>
                <w:rFonts w:ascii="Arial" w:hAnsi="Arial" w:cs="Arial"/>
                <w:b/>
              </w:rPr>
              <w:t>.</w:t>
            </w:r>
          </w:p>
          <w:p w:rsidR="001B0586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1B0586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1B0586" w:rsidRPr="00235A20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1B0586" w:rsidRPr="00235A20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1B0586" w:rsidRPr="001B0586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B0586">
              <w:rPr>
                <w:rFonts w:ascii="Arial" w:hAnsi="Arial" w:cs="Arial"/>
                <w:b/>
              </w:rPr>
              <w:t>Weston Meat Exporter Arrested</w:t>
            </w:r>
          </w:p>
          <w:p w:rsidR="001B0586" w:rsidRPr="00124613" w:rsidRDefault="001B0586" w:rsidP="001B0586">
            <w:pPr>
              <w:pStyle w:val="BodyTextInden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4613">
              <w:rPr>
                <w:rFonts w:ascii="Arial" w:hAnsi="Arial" w:cs="Arial"/>
                <w:b/>
                <w:bCs/>
                <w:sz w:val="24"/>
                <w:szCs w:val="24"/>
              </w:rPr>
              <w:t>Page 2</w:t>
            </w:r>
          </w:p>
          <w:p w:rsidR="001B0586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1B0586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1B0586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1B0586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  <w:r w:rsidRPr="00235A20">
              <w:rPr>
                <w:rFonts w:ascii="Arial" w:hAnsi="Arial" w:cs="Arial"/>
                <w:b/>
              </w:rPr>
              <w:t>The Plus International Bank loan to Mr. Del Valle was insured by Export-Import Bank of the United States through an insurance program supported by U.S. taxpayers and intended to help f</w:t>
            </w:r>
            <w:r>
              <w:rPr>
                <w:rFonts w:ascii="Arial" w:hAnsi="Arial" w:cs="Arial"/>
                <w:b/>
              </w:rPr>
              <w:t xml:space="preserve">acilitate international trade. </w:t>
            </w:r>
            <w:r w:rsidRPr="00235A20">
              <w:rPr>
                <w:rFonts w:ascii="Arial" w:hAnsi="Arial" w:cs="Arial"/>
                <w:b/>
              </w:rPr>
              <w:t>The Export-Import Bank is an independent federal agency and is the official export credit a</w:t>
            </w:r>
            <w:r>
              <w:rPr>
                <w:rFonts w:ascii="Arial" w:hAnsi="Arial" w:cs="Arial"/>
                <w:b/>
              </w:rPr>
              <w:t xml:space="preserve">gency of the United States. </w:t>
            </w:r>
            <w:r w:rsidRPr="00235A20">
              <w:rPr>
                <w:rFonts w:ascii="Arial" w:hAnsi="Arial" w:cs="Arial"/>
                <w:b/>
              </w:rPr>
              <w:t>Export-Import Bank helps create and maintain U.S. jobs by filling gap</w:t>
            </w:r>
            <w:r>
              <w:rPr>
                <w:rFonts w:ascii="Arial" w:hAnsi="Arial" w:cs="Arial"/>
                <w:b/>
              </w:rPr>
              <w:t>s in private export financing.</w:t>
            </w:r>
          </w:p>
          <w:p w:rsidR="001B0586" w:rsidRDefault="001B0586" w:rsidP="001B0586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C30285" w:rsidRPr="001B0586" w:rsidRDefault="00C30285" w:rsidP="00C3028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0586">
              <w:rPr>
                <w:rFonts w:ascii="Times New Roman" w:hAnsi="Times New Roman"/>
                <w:b/>
                <w:sz w:val="32"/>
                <w:szCs w:val="32"/>
              </w:rPr>
              <w:t>#####</w:t>
            </w:r>
          </w:p>
          <w:p w:rsidR="00C30285" w:rsidRPr="003855DD" w:rsidRDefault="00C30285" w:rsidP="00C30285">
            <w:pPr>
              <w:rPr>
                <w:rFonts w:ascii="Times New Roman" w:hAnsi="Times New Roman"/>
              </w:rPr>
            </w:pPr>
          </w:p>
        </w:tc>
      </w:tr>
      <w:tr w:rsidR="00C30285" w:rsidRPr="003855DD" w:rsidTr="00331F49">
        <w:tc>
          <w:tcPr>
            <w:tcW w:w="11304" w:type="dxa"/>
            <w:gridSpan w:val="5"/>
          </w:tcPr>
          <w:p w:rsidR="00C30285" w:rsidRDefault="00C30285">
            <w:pPr>
              <w:rPr>
                <w:rFonts w:ascii="Times New Roman" w:hAnsi="Times New Roman"/>
              </w:rPr>
            </w:pPr>
          </w:p>
        </w:tc>
      </w:tr>
    </w:tbl>
    <w:p w:rsidR="00BD18FB" w:rsidRPr="000C4719" w:rsidRDefault="00BD18FB" w:rsidP="00FA29BA">
      <w:pPr>
        <w:tabs>
          <w:tab w:val="left" w:pos="1275"/>
        </w:tabs>
        <w:rPr>
          <w:rFonts w:ascii="Times New Roman" w:hAnsi="Times New Roman"/>
          <w:sz w:val="8"/>
          <w:szCs w:val="8"/>
        </w:rPr>
      </w:pPr>
    </w:p>
    <w:sectPr w:rsidR="00BD18FB" w:rsidRPr="000C4719" w:rsidSect="000C4719">
      <w:footerReference w:type="default" r:id="rId10"/>
      <w:pgSz w:w="12240" w:h="15840"/>
      <w:pgMar w:top="576" w:right="576" w:bottom="576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A4" w:rsidRDefault="002020A4" w:rsidP="00BD18FB">
      <w:r>
        <w:separator/>
      </w:r>
    </w:p>
  </w:endnote>
  <w:endnote w:type="continuationSeparator" w:id="0">
    <w:p w:rsidR="002020A4" w:rsidRDefault="002020A4" w:rsidP="00BD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BA" w:rsidRPr="00D47954" w:rsidRDefault="00FA29BA" w:rsidP="00FA29BA">
    <w:pPr>
      <w:pStyle w:val="Footer"/>
      <w:tabs>
        <w:tab w:val="clear" w:pos="4680"/>
        <w:tab w:val="clear" w:pos="9360"/>
        <w:tab w:val="right" w:pos="11070"/>
      </w:tabs>
      <w:rPr>
        <w:rFonts w:asciiTheme="minorHAnsi" w:hAnsiTheme="minorHAnsi"/>
        <w:sz w:val="20"/>
        <w:szCs w:val="20"/>
      </w:rPr>
    </w:pPr>
    <w:r w:rsidRPr="00D47954">
      <w:rPr>
        <w:rFonts w:asciiTheme="minorHAnsi" w:hAnsiTheme="minorHAnsi"/>
        <w:sz w:val="20"/>
        <w:szCs w:val="20"/>
      </w:rPr>
      <w:t>FOR FURTHER</w:t>
    </w:r>
    <w:r w:rsidRPr="00D47954">
      <w:rPr>
        <w:rFonts w:asciiTheme="minorHAnsi" w:hAnsiTheme="minorHAnsi"/>
        <w:sz w:val="20"/>
        <w:szCs w:val="20"/>
      </w:rPr>
      <w:tab/>
    </w:r>
  </w:p>
  <w:p w:rsidR="00FA29BA" w:rsidRPr="00D47954" w:rsidRDefault="00FA29BA" w:rsidP="00FA29BA">
    <w:pPr>
      <w:tabs>
        <w:tab w:val="right" w:pos="11070"/>
      </w:tabs>
      <w:rPr>
        <w:rFonts w:asciiTheme="minorHAnsi" w:hAnsiTheme="minorHAnsi"/>
        <w:sz w:val="20"/>
        <w:szCs w:val="20"/>
      </w:rPr>
    </w:pPr>
    <w:r w:rsidRPr="00D47954">
      <w:rPr>
        <w:rFonts w:asciiTheme="minorHAnsi" w:hAnsiTheme="minorHAnsi"/>
        <w:sz w:val="20"/>
        <w:szCs w:val="20"/>
      </w:rPr>
      <w:t>INFORMATION CONTACT:</w:t>
    </w:r>
    <w:r w:rsidRPr="00D47954">
      <w:rPr>
        <w:rFonts w:asciiTheme="minorHAnsi" w:hAnsiTheme="minorHAnsi"/>
        <w:sz w:val="20"/>
        <w:szCs w:val="20"/>
      </w:rPr>
      <w:tab/>
    </w:r>
    <w:r w:rsidR="00894E29">
      <w:rPr>
        <w:rFonts w:asciiTheme="minorHAnsi" w:hAnsiTheme="minorHAnsi"/>
        <w:sz w:val="20"/>
        <w:szCs w:val="20"/>
      </w:rPr>
      <w:t>Ed Griffith</w:t>
    </w:r>
    <w:r w:rsidRPr="00D47954">
      <w:rPr>
        <w:rFonts w:asciiTheme="minorHAnsi" w:hAnsiTheme="minorHAnsi"/>
        <w:sz w:val="20"/>
        <w:szCs w:val="20"/>
      </w:rPr>
      <w:t>, Public Information Officer</w:t>
    </w:r>
  </w:p>
  <w:p w:rsidR="00FA29BA" w:rsidRDefault="00FA29BA" w:rsidP="00FA29BA">
    <w:pPr>
      <w:pStyle w:val="Footer"/>
      <w:tabs>
        <w:tab w:val="clear" w:pos="4680"/>
        <w:tab w:val="clear" w:pos="9360"/>
        <w:tab w:val="right" w:pos="11070"/>
      </w:tabs>
      <w:rPr>
        <w:rFonts w:asciiTheme="minorHAnsi" w:hAnsiTheme="minorHAnsi"/>
        <w:sz w:val="20"/>
        <w:szCs w:val="20"/>
      </w:rPr>
    </w:pPr>
    <w:r w:rsidRPr="00D47954">
      <w:rPr>
        <w:rFonts w:asciiTheme="minorHAnsi" w:hAnsiTheme="minorHAnsi"/>
        <w:sz w:val="20"/>
        <w:szCs w:val="20"/>
      </w:rPr>
      <w:tab/>
      <w:t>(305) 547-0</w:t>
    </w:r>
    <w:r w:rsidR="00894E29">
      <w:rPr>
        <w:rFonts w:asciiTheme="minorHAnsi" w:hAnsiTheme="minorHAnsi"/>
        <w:sz w:val="20"/>
        <w:szCs w:val="20"/>
      </w:rPr>
      <w:t>535</w:t>
    </w:r>
  </w:p>
  <w:p w:rsidR="00FA29BA" w:rsidRPr="00D47954" w:rsidRDefault="00FA29BA" w:rsidP="00FA29BA">
    <w:pPr>
      <w:pStyle w:val="Footer"/>
      <w:tabs>
        <w:tab w:val="clear" w:pos="4680"/>
        <w:tab w:val="clear" w:pos="9360"/>
        <w:tab w:val="right" w:pos="1107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hyperlink r:id="rId1" w:history="1">
      <w:r w:rsidR="00894E29" w:rsidRPr="00CE1345">
        <w:rPr>
          <w:rStyle w:val="Hyperlink"/>
          <w:rFonts w:asciiTheme="minorHAnsi" w:hAnsiTheme="minorHAnsi"/>
          <w:sz w:val="20"/>
          <w:szCs w:val="20"/>
        </w:rPr>
        <w:t>EdGriffith@MiamiSAO.com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A4" w:rsidRDefault="002020A4" w:rsidP="00BD18FB">
      <w:r>
        <w:separator/>
      </w:r>
    </w:p>
  </w:footnote>
  <w:footnote w:type="continuationSeparator" w:id="0">
    <w:p w:rsidR="002020A4" w:rsidRDefault="002020A4" w:rsidP="00BD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5A8"/>
    <w:multiLevelType w:val="hybridMultilevel"/>
    <w:tmpl w:val="98346B18"/>
    <w:lvl w:ilvl="0" w:tplc="2AA8CFD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1445D"/>
    <w:multiLevelType w:val="hybridMultilevel"/>
    <w:tmpl w:val="989C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5"/>
    <w:rsid w:val="00026934"/>
    <w:rsid w:val="00052D1D"/>
    <w:rsid w:val="00074F24"/>
    <w:rsid w:val="00081206"/>
    <w:rsid w:val="0008210D"/>
    <w:rsid w:val="000B465D"/>
    <w:rsid w:val="000C4719"/>
    <w:rsid w:val="000C5ADB"/>
    <w:rsid w:val="000D01C1"/>
    <w:rsid w:val="000D5C98"/>
    <w:rsid w:val="000E4703"/>
    <w:rsid w:val="00121CA9"/>
    <w:rsid w:val="00124613"/>
    <w:rsid w:val="0017261D"/>
    <w:rsid w:val="00185C33"/>
    <w:rsid w:val="001918A1"/>
    <w:rsid w:val="00193DA4"/>
    <w:rsid w:val="001B0586"/>
    <w:rsid w:val="001B34EA"/>
    <w:rsid w:val="001D5041"/>
    <w:rsid w:val="002020A4"/>
    <w:rsid w:val="002020DC"/>
    <w:rsid w:val="0024779B"/>
    <w:rsid w:val="00247BBB"/>
    <w:rsid w:val="00247CD3"/>
    <w:rsid w:val="0025142A"/>
    <w:rsid w:val="002A56EF"/>
    <w:rsid w:val="002B0D06"/>
    <w:rsid w:val="002C52D3"/>
    <w:rsid w:val="002E4799"/>
    <w:rsid w:val="002F48A9"/>
    <w:rsid w:val="003042A1"/>
    <w:rsid w:val="00316BBE"/>
    <w:rsid w:val="0031732D"/>
    <w:rsid w:val="00331F49"/>
    <w:rsid w:val="0037558A"/>
    <w:rsid w:val="003855DD"/>
    <w:rsid w:val="003A6127"/>
    <w:rsid w:val="003A7155"/>
    <w:rsid w:val="003B20F5"/>
    <w:rsid w:val="003E7233"/>
    <w:rsid w:val="003F0D88"/>
    <w:rsid w:val="003F2F4B"/>
    <w:rsid w:val="00412696"/>
    <w:rsid w:val="0047283E"/>
    <w:rsid w:val="00473E0F"/>
    <w:rsid w:val="004818D7"/>
    <w:rsid w:val="00481A07"/>
    <w:rsid w:val="004A53E8"/>
    <w:rsid w:val="004B05F7"/>
    <w:rsid w:val="004C64BF"/>
    <w:rsid w:val="004E0153"/>
    <w:rsid w:val="004E1031"/>
    <w:rsid w:val="004E7F34"/>
    <w:rsid w:val="00500174"/>
    <w:rsid w:val="00526199"/>
    <w:rsid w:val="00532269"/>
    <w:rsid w:val="00532521"/>
    <w:rsid w:val="00540579"/>
    <w:rsid w:val="00542FCC"/>
    <w:rsid w:val="005857DA"/>
    <w:rsid w:val="00593959"/>
    <w:rsid w:val="00595F44"/>
    <w:rsid w:val="005A04FE"/>
    <w:rsid w:val="005E2B4E"/>
    <w:rsid w:val="005E38DD"/>
    <w:rsid w:val="005F015F"/>
    <w:rsid w:val="005F2FF1"/>
    <w:rsid w:val="0063214A"/>
    <w:rsid w:val="00642AB5"/>
    <w:rsid w:val="006531E9"/>
    <w:rsid w:val="00672E69"/>
    <w:rsid w:val="00705A9D"/>
    <w:rsid w:val="007308BC"/>
    <w:rsid w:val="0073216D"/>
    <w:rsid w:val="00732FC4"/>
    <w:rsid w:val="007503D7"/>
    <w:rsid w:val="00772126"/>
    <w:rsid w:val="00774817"/>
    <w:rsid w:val="00790842"/>
    <w:rsid w:val="00862DCA"/>
    <w:rsid w:val="0087787A"/>
    <w:rsid w:val="00894E29"/>
    <w:rsid w:val="008A2324"/>
    <w:rsid w:val="008E19B3"/>
    <w:rsid w:val="008F7225"/>
    <w:rsid w:val="008F7C46"/>
    <w:rsid w:val="00912875"/>
    <w:rsid w:val="00916438"/>
    <w:rsid w:val="00923D75"/>
    <w:rsid w:val="0092552D"/>
    <w:rsid w:val="009403EF"/>
    <w:rsid w:val="00951E20"/>
    <w:rsid w:val="00965979"/>
    <w:rsid w:val="00967672"/>
    <w:rsid w:val="0099653B"/>
    <w:rsid w:val="009B778B"/>
    <w:rsid w:val="009D14A0"/>
    <w:rsid w:val="009D14DD"/>
    <w:rsid w:val="009D524E"/>
    <w:rsid w:val="009F6785"/>
    <w:rsid w:val="00A014C5"/>
    <w:rsid w:val="00A01D62"/>
    <w:rsid w:val="00A24E7D"/>
    <w:rsid w:val="00A44CA5"/>
    <w:rsid w:val="00A53421"/>
    <w:rsid w:val="00A605E0"/>
    <w:rsid w:val="00A675E2"/>
    <w:rsid w:val="00AA381E"/>
    <w:rsid w:val="00AD0B64"/>
    <w:rsid w:val="00AD5BF6"/>
    <w:rsid w:val="00AE0C5C"/>
    <w:rsid w:val="00AE4978"/>
    <w:rsid w:val="00AE512E"/>
    <w:rsid w:val="00B17B77"/>
    <w:rsid w:val="00B72362"/>
    <w:rsid w:val="00B91424"/>
    <w:rsid w:val="00B9567B"/>
    <w:rsid w:val="00BA0BFD"/>
    <w:rsid w:val="00BD18FB"/>
    <w:rsid w:val="00C013BD"/>
    <w:rsid w:val="00C15B12"/>
    <w:rsid w:val="00C30285"/>
    <w:rsid w:val="00C37C62"/>
    <w:rsid w:val="00C4042F"/>
    <w:rsid w:val="00C74070"/>
    <w:rsid w:val="00C773F9"/>
    <w:rsid w:val="00C91CC0"/>
    <w:rsid w:val="00CA4D6F"/>
    <w:rsid w:val="00D00787"/>
    <w:rsid w:val="00D23B44"/>
    <w:rsid w:val="00D33C21"/>
    <w:rsid w:val="00D85925"/>
    <w:rsid w:val="00D9651C"/>
    <w:rsid w:val="00DC5F3B"/>
    <w:rsid w:val="00DD021C"/>
    <w:rsid w:val="00DD193A"/>
    <w:rsid w:val="00DD46DA"/>
    <w:rsid w:val="00DE4B3C"/>
    <w:rsid w:val="00E4519D"/>
    <w:rsid w:val="00E64CBA"/>
    <w:rsid w:val="00E669EB"/>
    <w:rsid w:val="00E70F67"/>
    <w:rsid w:val="00E73B1C"/>
    <w:rsid w:val="00E92393"/>
    <w:rsid w:val="00E95F0C"/>
    <w:rsid w:val="00EC6E8A"/>
    <w:rsid w:val="00EC7275"/>
    <w:rsid w:val="00F121E9"/>
    <w:rsid w:val="00F61F6A"/>
    <w:rsid w:val="00F621AC"/>
    <w:rsid w:val="00F76533"/>
    <w:rsid w:val="00F9324C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8FB"/>
  </w:style>
  <w:style w:type="paragraph" w:styleId="Footer">
    <w:name w:val="footer"/>
    <w:basedOn w:val="Normal"/>
    <w:link w:val="FooterChar"/>
    <w:uiPriority w:val="99"/>
    <w:unhideWhenUsed/>
    <w:rsid w:val="00BD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FB"/>
  </w:style>
  <w:style w:type="character" w:styleId="Hyperlink">
    <w:name w:val="Hyperlink"/>
    <w:basedOn w:val="DefaultParagraphFont"/>
    <w:uiPriority w:val="99"/>
    <w:unhideWhenUsed/>
    <w:rsid w:val="00FA29B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5BF6"/>
    <w:rPr>
      <w:rFonts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5BF6"/>
    <w:rPr>
      <w:rFonts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951E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24E7D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4E7D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058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8FB"/>
  </w:style>
  <w:style w:type="paragraph" w:styleId="Footer">
    <w:name w:val="footer"/>
    <w:basedOn w:val="Normal"/>
    <w:link w:val="FooterChar"/>
    <w:uiPriority w:val="99"/>
    <w:unhideWhenUsed/>
    <w:rsid w:val="00BD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FB"/>
  </w:style>
  <w:style w:type="character" w:styleId="Hyperlink">
    <w:name w:val="Hyperlink"/>
    <w:basedOn w:val="DefaultParagraphFont"/>
    <w:uiPriority w:val="99"/>
    <w:unhideWhenUsed/>
    <w:rsid w:val="00FA29B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5BF6"/>
    <w:rPr>
      <w:rFonts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5BF6"/>
    <w:rPr>
      <w:rFonts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951E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24E7D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4E7D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05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Griffith@MiamiSA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raham%20Building\Media\Press%20Release%20-%20Case%20Related%20-%20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Case Related - Ed</Template>
  <TotalTime>0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RELASE - CASE RELATED - ED</vt:lpstr>
    </vt:vector>
  </TitlesOfParts>
  <Company>Miami-Dade State Attorney's Office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RELASE - CASE RELATED - ED</dc:title>
  <dc:creator>Terry Gonzalez-Chavez</dc:creator>
  <cp:keywords>MEDIA</cp:keywords>
  <dc:description>Form created by Terry, revised on 8/15/11 by terry;</dc:description>
  <cp:lastModifiedBy>Mike McCarthy</cp:lastModifiedBy>
  <cp:revision>2</cp:revision>
  <cp:lastPrinted>2015-06-15T22:08:00Z</cp:lastPrinted>
  <dcterms:created xsi:type="dcterms:W3CDTF">2015-07-21T16:26:00Z</dcterms:created>
  <dcterms:modified xsi:type="dcterms:W3CDTF">2015-07-21T16:26:00Z</dcterms:modified>
  <cp:category>MEDIA</cp:category>
</cp:coreProperties>
</file>